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736" w:rsidRPr="00A33787" w:rsidRDefault="001C4736" w:rsidP="001C473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</w:t>
      </w:r>
      <w:r w:rsidR="008E593F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5</w:t>
      </w:r>
    </w:p>
    <w:p w:rsidR="001C4736" w:rsidRPr="00A33787" w:rsidRDefault="001C4736" w:rsidP="001C473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</w:t>
      </w:r>
      <w:r w:rsidR="003C6AD8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DF713D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04</w:t>
      </w:r>
      <w:r w:rsidR="003C6AD8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/1</w:t>
      </w:r>
      <w:r w:rsidR="00DF713D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1</w:t>
      </w:r>
      <w:r w:rsidR="003C6AD8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/201</w:t>
      </w:r>
      <w:r w:rsidR="00DF713D"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C4736" w:rsidRPr="00A33787" w:rsidTr="00A71A57">
        <w:tc>
          <w:tcPr>
            <w:tcW w:w="14283" w:type="dxa"/>
          </w:tcPr>
          <w:p w:rsidR="001C4736" w:rsidRPr="00A33787" w:rsidRDefault="001C4736" w:rsidP="003C6A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Distrital Ejecutiva</w:t>
            </w:r>
            <w:r w:rsidR="003C6AD8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02, Soledad de Graciano Sánchez, S.L.P.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8772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8772B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Dr. Rodolfo Ortiz Balbuena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3C6AD8" w:rsidRPr="00A33787">
              <w:rPr>
                <w:rFonts w:ascii="Arial" w:eastAsia="Arial Unicode MS" w:hAnsi="Arial" w:cs="Arial"/>
                <w:sz w:val="20"/>
                <w:szCs w:val="20"/>
              </w:rPr>
              <w:t>Magdaleno Cedillo 515, Col. Expropiación Petrolera, Soledad de Graciano Sánchez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4448311570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3C6A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hyperlink r:id="rId8" w:history="1">
              <w:r w:rsidR="003C6AD8" w:rsidRPr="00A33787">
                <w:rPr>
                  <w:rStyle w:val="Hipervnculo"/>
                  <w:rFonts w:ascii="Arial" w:eastAsia="Arial Unicode MS" w:hAnsi="Arial" w:cs="Arial"/>
                  <w:sz w:val="20"/>
                  <w:szCs w:val="20"/>
                </w:rPr>
                <w:t>rodolfo.ortiz@ine.org.mx</w:t>
              </w:r>
            </w:hyperlink>
          </w:p>
        </w:tc>
      </w:tr>
    </w:tbl>
    <w:p w:rsidR="001C4736" w:rsidRPr="00A3378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C4736" w:rsidRPr="00A3378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C4736" w:rsidRPr="00A33787" w:rsidTr="00A71A57">
        <w:tc>
          <w:tcPr>
            <w:tcW w:w="14283" w:type="dxa"/>
          </w:tcPr>
          <w:p w:rsidR="001C4736" w:rsidRPr="00A33787" w:rsidRDefault="001C4736" w:rsidP="00FB3C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="00FB3CA7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FB3C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 </w:t>
            </w:r>
          </w:p>
        </w:tc>
      </w:tr>
    </w:tbl>
    <w:p w:rsidR="001C4736" w:rsidRPr="00A3378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C4736" w:rsidRPr="00A33787" w:rsidTr="00A71A57">
        <w:tc>
          <w:tcPr>
            <w:tcW w:w="14283" w:type="dxa"/>
          </w:tcPr>
          <w:p w:rsidR="001C4736" w:rsidRPr="00A3378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E76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C4736" w:rsidRPr="00A33787" w:rsidTr="00A71A57">
        <w:tc>
          <w:tcPr>
            <w:tcW w:w="14283" w:type="dxa"/>
          </w:tcPr>
          <w:p w:rsidR="001C4736" w:rsidRPr="00A33787" w:rsidRDefault="001C4736" w:rsidP="004000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F6191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4000B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Proceso Electoral.</w:t>
            </w:r>
          </w:p>
        </w:tc>
      </w:tr>
    </w:tbl>
    <w:p w:rsidR="001C4736" w:rsidRPr="00A33787" w:rsidRDefault="001C4736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C4736" w:rsidRPr="00A33787" w:rsidTr="00A71A57">
        <w:tc>
          <w:tcPr>
            <w:tcW w:w="2802" w:type="dxa"/>
            <w:vAlign w:val="center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6B1EEE" w:rsidRPr="00A33787" w:rsidTr="00A71A57">
        <w:tc>
          <w:tcPr>
            <w:tcW w:w="2802" w:type="dxa"/>
          </w:tcPr>
          <w:p w:rsidR="006B1EEE" w:rsidRPr="00F356D3" w:rsidRDefault="006B1EEE" w:rsidP="00F356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56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15.6  </w:t>
            </w:r>
            <w:r w:rsidR="00F356D3" w:rsidRPr="00F356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</w:tcPr>
          <w:p w:rsidR="006B1EEE" w:rsidRPr="00821988" w:rsidRDefault="006B1EEE" w:rsidP="006B1E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82198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expedientes</w:t>
            </w:r>
          </w:p>
        </w:tc>
        <w:tc>
          <w:tcPr>
            <w:tcW w:w="2410" w:type="dxa"/>
          </w:tcPr>
          <w:p w:rsidR="006B1EEE" w:rsidRPr="00821988" w:rsidRDefault="004000B7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6B1EEE" w:rsidRPr="00821988" w:rsidRDefault="00761506" w:rsidP="00FE1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</w:t>
            </w:r>
            <w:r w:rsidR="004000B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</w:p>
        </w:tc>
        <w:tc>
          <w:tcPr>
            <w:tcW w:w="2551" w:type="dxa"/>
          </w:tcPr>
          <w:p w:rsidR="006B1EEE" w:rsidRPr="00821988" w:rsidRDefault="006B1EEE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2198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A71A5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15.7 Solicitudes de Registro de Candidatos  a puestos de Elección Popular.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Solicitudes de Registro de Candidatos  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A71A5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15.19 Documentación Electoral 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Jornada Electoral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A71A5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15.27 Expedientes de cómputo distrital de elección de diputados de mayoría relativa.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de mayoría relativa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A71A5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15.28 Expedientes de cómputo distrital de elección de diputados por el principio de representación proporcional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por el principio de representación proporcional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A71A5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15.34 Constancias de mayoría y validez de la elección.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Constancias de mayoría y validez de la elección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</w:tbl>
    <w:p w:rsidR="001C4736" w:rsidRPr="00A3378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5B3E6D" w:rsidRPr="00A33787" w:rsidRDefault="005B3E6D" w:rsidP="005B3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5B3E6D" w:rsidRPr="00A33787" w:rsidTr="00E22DA7">
        <w:trPr>
          <w:trHeight w:val="370"/>
        </w:trPr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Secretario</w:t>
            </w:r>
          </w:p>
        </w:tc>
      </w:tr>
    </w:tbl>
    <w:p w:rsidR="001C4736" w:rsidRPr="00A33787" w:rsidRDefault="001C4736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E76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2.</w:t>
            </w:r>
            <w:r w:rsidR="00F94A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Asuntos Jurídicos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4.</w:t>
            </w:r>
            <w:r w:rsidR="00F94A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Recursos Humanos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6.</w:t>
            </w:r>
            <w:r w:rsidR="00F94A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Recursos Materiales y O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bra Pública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7.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Servicios Generales; 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Tecnologías y Servicios de la Información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11.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Planeación, Información, Evaluación y Políticas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12.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Transparencia y Acceso a la Información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13.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Partidos Políticos Nacionales y Agrupaciones Políticas Nacionales, Prerrogativas y Fiscalización</w:t>
            </w:r>
            <w:r w:rsidR="006B1EE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15.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Proceso Electoral.</w:t>
            </w:r>
          </w:p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ab/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B3E6D" w:rsidRPr="00A33787" w:rsidTr="00E22DA7">
        <w:tc>
          <w:tcPr>
            <w:tcW w:w="2802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 Actuaciones y Representaciones en Materia Legal.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Oficialía Electoral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  <w:vMerge w:val="restart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2.19 Medios de Impugnación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de Medios de Impugnación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rPr>
          <w:trHeight w:val="309"/>
        </w:trPr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de Quejas y Denuncias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rPr>
          <w:trHeight w:val="437"/>
        </w:trPr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Juicio para La Protección de los Derechos Políticos Electorales del Ciudadano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rPr>
          <w:trHeight w:val="250"/>
        </w:trPr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Juicio de inconformidad del Partido del Trabajo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rPr>
          <w:trHeight w:val="250"/>
        </w:trPr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 de Revisión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4.8 </w:t>
            </w:r>
            <w:r w:rsidRPr="00F356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Asistencia (Vacaciones, descansos, licencias, incapacidades, etc.)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Listas de Asistencia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6.6 Contratos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Contratos de Servicios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6.15 Arrendamientos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Arrendamientos de los Bienes Inmuebles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6.17 </w:t>
            </w:r>
            <w:r w:rsidRPr="00F356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Inventario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Físico y Control de Bienes Muebles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Relaciones de Bienes Muebles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6.20 Disposiciones y Sistemas de Almacén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Entradas y Salidas de Almacén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Comités y </w:t>
            </w:r>
            <w:r w:rsidRPr="00F356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Subcomités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Adquisiciones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Arrendamientos y Servicios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Sesión del Subcomité de Adquisiciones y Administración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7.13 Control de Parque Vehicular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Bitácoras de Servicios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7.14 Vales de Combustible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Bitácoras de Combustible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7.16 Protección Civil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y Funcionamiento de Comisiones de Seguridad y Salud en el Trabajo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8.20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Comités y </w:t>
            </w:r>
            <w:r w:rsidRPr="006F0B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Subcomités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Técnico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Interno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la Administración de Documentos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Sesión del Subcomité  Técnico Interno para la Administración de Documentos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  <w:vMerge w:val="restart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 Junta Distrital Ejecutiva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Sesión de Junta Distrital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Circunstanciadas de la Junta Distrital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Minutas de la Junta Distrital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  <w:vMerge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Minutas Reuniones de Trabajo de la Vocalía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B06592">
        <w:trPr>
          <w:trHeight w:val="465"/>
        </w:trPr>
        <w:tc>
          <w:tcPr>
            <w:tcW w:w="2802" w:type="dxa"/>
            <w:vMerge w:val="restart"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11.5 Calendario Anual De Actividades</w:t>
            </w:r>
          </w:p>
        </w:tc>
        <w:tc>
          <w:tcPr>
            <w:tcW w:w="4394" w:type="dxa"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de Sesiones de la Junta</w:t>
            </w:r>
          </w:p>
        </w:tc>
        <w:tc>
          <w:tcPr>
            <w:tcW w:w="2410" w:type="dxa"/>
          </w:tcPr>
          <w:p w:rsidR="00B06592" w:rsidRPr="00A33787" w:rsidRDefault="00B06592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062523">
              <w:t>Archivero</w:t>
            </w:r>
          </w:p>
        </w:tc>
      </w:tr>
      <w:tr w:rsidR="00B06592" w:rsidRPr="00A33787" w:rsidTr="00E22DA7">
        <w:trPr>
          <w:trHeight w:val="465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de Entrega de Nóminas</w:t>
            </w:r>
          </w:p>
        </w:tc>
        <w:tc>
          <w:tcPr>
            <w:tcW w:w="2410" w:type="dxa"/>
          </w:tcPr>
          <w:p w:rsidR="00B06592" w:rsidRDefault="00B06592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Pr="000A0272" w:rsidRDefault="00B06592" w:rsidP="00FE16B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062523"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12.6 Solicitudes de Acceso a la Información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Representantes ante Mesas Directivas de Casilla y Generales de Partidos Políticos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13.6 Candidatos a Puestos de Elección Popular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Candidatos Independientes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c>
          <w:tcPr>
            <w:tcW w:w="2802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13.8 Registro de Integrantes y Representantes ante los Órganos del Instituto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Acreditaciones de los Representantes de los Partidos Políticos ante el Consejo Distrital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761506" w:rsidRPr="00A33787" w:rsidTr="00E22DA7">
        <w:trPr>
          <w:trHeight w:val="38"/>
        </w:trPr>
        <w:tc>
          <w:tcPr>
            <w:tcW w:w="2802" w:type="dxa"/>
            <w:vMerge w:val="restart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15.6 Consejo Distrital</w:t>
            </w:r>
          </w:p>
        </w:tc>
        <w:tc>
          <w:tcPr>
            <w:tcW w:w="4394" w:type="dxa"/>
          </w:tcPr>
          <w:p w:rsidR="00761506" w:rsidRPr="00A33787" w:rsidRDefault="00761506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Sesión de Consejo Distrital</w:t>
            </w:r>
          </w:p>
        </w:tc>
        <w:tc>
          <w:tcPr>
            <w:tcW w:w="2410" w:type="dxa"/>
          </w:tcPr>
          <w:p w:rsidR="00761506" w:rsidRPr="00A33787" w:rsidRDefault="00761506" w:rsidP="00761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761506" w:rsidRDefault="00761506" w:rsidP="00FE16B5">
            <w:pPr>
              <w:jc w:val="center"/>
            </w:pPr>
            <w:r w:rsidRPr="000A02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761506" w:rsidRPr="001E6415" w:rsidRDefault="00761506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E64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rPr>
          <w:trHeight w:val="38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Circunstanciadas del Consejo</w:t>
            </w:r>
          </w:p>
        </w:tc>
        <w:tc>
          <w:tcPr>
            <w:tcW w:w="2410" w:type="dxa"/>
          </w:tcPr>
          <w:p w:rsidR="00B06592" w:rsidRDefault="00B06592" w:rsidP="00761506">
            <w:pPr>
              <w:jc w:val="center"/>
            </w:pPr>
            <w:r w:rsidRPr="004159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916321"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7312FF">
              <w:t>Archivero</w:t>
            </w:r>
          </w:p>
        </w:tc>
      </w:tr>
      <w:tr w:rsidR="00B06592" w:rsidRPr="00A33787" w:rsidTr="00E22DA7">
        <w:trPr>
          <w:trHeight w:val="38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761506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5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 del Consejo Distrital</w:t>
            </w:r>
          </w:p>
        </w:tc>
        <w:tc>
          <w:tcPr>
            <w:tcW w:w="2410" w:type="dxa"/>
          </w:tcPr>
          <w:p w:rsidR="00B06592" w:rsidRDefault="00B06592" w:rsidP="00761506">
            <w:pPr>
              <w:jc w:val="center"/>
            </w:pPr>
            <w:r w:rsidRPr="004159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916321"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7312FF">
              <w:t>Archivero</w:t>
            </w:r>
          </w:p>
        </w:tc>
      </w:tr>
      <w:tr w:rsidR="00B06592" w:rsidRPr="00A33787" w:rsidTr="00E22DA7">
        <w:trPr>
          <w:trHeight w:val="38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761506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5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Sesiones de Consejo</w:t>
            </w:r>
          </w:p>
        </w:tc>
        <w:tc>
          <w:tcPr>
            <w:tcW w:w="2410" w:type="dxa"/>
          </w:tcPr>
          <w:p w:rsidR="00B06592" w:rsidRDefault="00B06592" w:rsidP="00761506">
            <w:pPr>
              <w:jc w:val="center"/>
            </w:pPr>
            <w:r w:rsidRPr="004159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916321"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7312FF">
              <w:t>Archivero</w:t>
            </w:r>
          </w:p>
        </w:tc>
      </w:tr>
      <w:tr w:rsidR="00B06592" w:rsidRPr="00A33787" w:rsidTr="00E22DA7">
        <w:trPr>
          <w:trHeight w:val="38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761506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5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Mecanismos de Coordinación</w:t>
            </w:r>
          </w:p>
        </w:tc>
        <w:tc>
          <w:tcPr>
            <w:tcW w:w="2410" w:type="dxa"/>
          </w:tcPr>
          <w:p w:rsidR="00B06592" w:rsidRDefault="00B06592" w:rsidP="00761506">
            <w:pPr>
              <w:jc w:val="center"/>
            </w:pPr>
            <w:r w:rsidRPr="004159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916321"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7312FF">
              <w:t>Archivero</w:t>
            </w:r>
          </w:p>
        </w:tc>
      </w:tr>
      <w:tr w:rsidR="00B06592" w:rsidRPr="00A33787" w:rsidTr="00E22DA7">
        <w:trPr>
          <w:trHeight w:val="38"/>
        </w:trPr>
        <w:tc>
          <w:tcPr>
            <w:tcW w:w="2802" w:type="dxa"/>
            <w:vMerge/>
          </w:tcPr>
          <w:p w:rsidR="00B06592" w:rsidRPr="00A33787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761506" w:rsidRDefault="00B06592" w:rsidP="007615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5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Inasistencia</w:t>
            </w:r>
          </w:p>
        </w:tc>
        <w:tc>
          <w:tcPr>
            <w:tcW w:w="2410" w:type="dxa"/>
          </w:tcPr>
          <w:p w:rsidR="00B06592" w:rsidRDefault="00B06592" w:rsidP="00761506">
            <w:pPr>
              <w:jc w:val="center"/>
            </w:pPr>
            <w:r w:rsidRPr="004159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916321">
              <w:t>Un expediente</w:t>
            </w:r>
          </w:p>
        </w:tc>
        <w:tc>
          <w:tcPr>
            <w:tcW w:w="2551" w:type="dxa"/>
          </w:tcPr>
          <w:p w:rsidR="00B06592" w:rsidRDefault="00B06592" w:rsidP="00B06592">
            <w:pPr>
              <w:jc w:val="center"/>
            </w:pPr>
            <w:r w:rsidRPr="007312FF">
              <w:t>Archivero</w:t>
            </w:r>
          </w:p>
        </w:tc>
      </w:tr>
      <w:tr w:rsidR="006B1EEE" w:rsidRPr="00A33787" w:rsidTr="00E22DA7">
        <w:trPr>
          <w:trHeight w:val="38"/>
        </w:trPr>
        <w:tc>
          <w:tcPr>
            <w:tcW w:w="2802" w:type="dxa"/>
          </w:tcPr>
          <w:p w:rsidR="006B1EEE" w:rsidRPr="00A33787" w:rsidRDefault="006B1EEE" w:rsidP="006B1E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1EE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15.16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Representantes de Partidos Políticos ante Casilla y Generales</w:t>
            </w:r>
          </w:p>
        </w:tc>
        <w:tc>
          <w:tcPr>
            <w:tcW w:w="4394" w:type="dxa"/>
          </w:tcPr>
          <w:p w:rsidR="006B1EEE" w:rsidRPr="00A33787" w:rsidRDefault="006B1EEE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B1EE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Acreditación de Representantes de Partidos Políticos Generales y ante Mesas Directivas de Casilla</w:t>
            </w:r>
          </w:p>
        </w:tc>
        <w:tc>
          <w:tcPr>
            <w:tcW w:w="2410" w:type="dxa"/>
          </w:tcPr>
          <w:p w:rsidR="006B1EEE" w:rsidRPr="00A33787" w:rsidRDefault="000D40CA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6B1EEE" w:rsidRPr="00A33787" w:rsidRDefault="00B06592" w:rsidP="00FE1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expediente</w:t>
            </w:r>
          </w:p>
        </w:tc>
        <w:tc>
          <w:tcPr>
            <w:tcW w:w="2551" w:type="dxa"/>
          </w:tcPr>
          <w:p w:rsidR="006B1EEE" w:rsidRPr="00A33787" w:rsidRDefault="006B1EEE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1EE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5B3E6D" w:rsidRPr="00A33787" w:rsidRDefault="005B3E6D" w:rsidP="005B3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Organización Electoral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E76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15.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Proceso Electoral.</w:t>
            </w:r>
          </w:p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ab/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B3E6D" w:rsidRPr="00A33787" w:rsidTr="00E22DA7">
        <w:tc>
          <w:tcPr>
            <w:tcW w:w="2802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06592" w:rsidRPr="00A33787" w:rsidTr="00E22DA7"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15.14 Ubicación de Casillas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Meta Individual 2; Sistema de Ubicación de Casillas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Anuencias Sobre Solicitudes de Inmuebles para la Ubicación de Casillas y Notificaciones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Propuesta de Ubicación de Casillas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rPr>
          <w:trHeight w:val="228"/>
        </w:trPr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 Observadores Electorales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Recibidas y Aprobación de Observadores Electorales</w:t>
            </w:r>
          </w:p>
        </w:tc>
        <w:tc>
          <w:tcPr>
            <w:tcW w:w="2410" w:type="dxa"/>
            <w:vMerge w:val="restart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Merge w:val="restart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  <w:vMerge w:val="restart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rPr>
          <w:trHeight w:val="228"/>
        </w:trPr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Meta Individual 1; Observadores Electorales</w:t>
            </w:r>
          </w:p>
        </w:tc>
        <w:tc>
          <w:tcPr>
            <w:tcW w:w="2410" w:type="dxa"/>
            <w:vMerge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vMerge/>
          </w:tcPr>
          <w:p w:rsidR="00B06592" w:rsidRPr="00A33787" w:rsidRDefault="00B06592" w:rsidP="00FE1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vMerge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6592" w:rsidRPr="00A33787" w:rsidTr="00E22DA7">
        <w:trPr>
          <w:trHeight w:val="114"/>
        </w:trPr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15.22 </w:t>
            </w:r>
            <w:r w:rsidRPr="00DD7F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 de Información de la Jornada Electoral</w:t>
            </w:r>
          </w:p>
        </w:tc>
        <w:tc>
          <w:tcPr>
            <w:tcW w:w="4394" w:type="dxa"/>
          </w:tcPr>
          <w:p w:rsidR="00B06592" w:rsidRPr="00A33787" w:rsidRDefault="00E74D08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Meta Individual 4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.- Elaborar para el 100% de los C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apacitadores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sistentes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lectorales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Distrito, la programación de horarios de transmisión de la información a la Sala del S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istema de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nformación de la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ornada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2015, con la finalidad de asegurar que los consejos distritales cuenten con información oportuna de las casillas el día de la jornada electoral. Del 01 al 30 de abril de 2015.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rPr>
          <w:trHeight w:val="114"/>
        </w:trPr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E74D08" w:rsidP="00E74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Meta Individual 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3.- Ejecutar los dos simulacros del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 de Información de la Jornada Electoral</w:t>
            </w:r>
            <w:r w:rsidR="00B06592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2015, de conformidad a los lineamientos respectivos, para recrear las condiciones del día de la jornada electoral y evitar posibles desviaciones en su realización, del 03 al 24 de mayo de 2015.</w:t>
            </w:r>
          </w:p>
        </w:tc>
        <w:tc>
          <w:tcPr>
            <w:tcW w:w="2410" w:type="dxa"/>
          </w:tcPr>
          <w:p w:rsidR="00B06592" w:rsidRPr="00A33787" w:rsidRDefault="00B06592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C611AA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B0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5B3E6D" w:rsidRPr="00A33787" w:rsidRDefault="005B3E6D" w:rsidP="005B3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del Registro Federal de Electores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E76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2C5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14.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C515C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Federal de Electores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B3E6D" w:rsidRPr="00A33787" w:rsidTr="00E22DA7">
        <w:tc>
          <w:tcPr>
            <w:tcW w:w="2802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06592" w:rsidRPr="00A33787" w:rsidTr="00E22DA7">
        <w:trPr>
          <w:trHeight w:val="228"/>
        </w:trPr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14.4 Padrón Electoral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Trimestrales sobre la Ejecución de Trabajos en Campo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rPr>
          <w:trHeight w:val="228"/>
        </w:trPr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Registral a Demanda de Solicitudes de Credencial para Incrementar la Actualización del Padrón Electoral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5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 Módulos de Atención Ciudadana</w:t>
            </w:r>
          </w:p>
        </w:tc>
        <w:tc>
          <w:tcPr>
            <w:tcW w:w="4394" w:type="dxa"/>
          </w:tcPr>
          <w:p w:rsidR="00B06592" w:rsidRPr="00A33787" w:rsidRDefault="00B06592" w:rsidP="005C3C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Actualización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F0B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 Información del Módulo de Atención Ciudadana.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Electoral Registral de Trámites Solicitados, Faltante o Rechazada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14.11 Cartografía Electoral</w:t>
            </w:r>
          </w:p>
        </w:tc>
        <w:tc>
          <w:tcPr>
            <w:tcW w:w="4394" w:type="dxa"/>
          </w:tcPr>
          <w:p w:rsidR="00B06592" w:rsidRPr="00A33787" w:rsidRDefault="00B06592" w:rsidP="00FE16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</w:t>
            </w:r>
            <w:r w:rsidR="00FE16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de Actualización Cartográfica.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Ciudadanos mal referenciados y conformación de casillas extraordinarias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 w:val="restart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14.15 Comisión Distrital de Vigilancia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Comisión Distrital de Vigilancia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Circunstanciadas del Buzón de Quejas y Sugerencias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Libro de Registro de Acreditaciones de Partidos Políticos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  <w:vMerge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Acuerdos de la Comisión Distrital de Vigilancia</w:t>
            </w:r>
          </w:p>
        </w:tc>
        <w:tc>
          <w:tcPr>
            <w:tcW w:w="2410" w:type="dxa"/>
          </w:tcPr>
          <w:p w:rsidR="00B06592" w:rsidRPr="00A33787" w:rsidRDefault="00B06592" w:rsidP="005D6C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8316A7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5B3E6D" w:rsidRPr="00A33787" w:rsidRDefault="005B3E6D" w:rsidP="005B3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3378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Capacitación Electoral y Educación Cívica</w:t>
            </w:r>
          </w:p>
        </w:tc>
      </w:tr>
    </w:tbl>
    <w:p w:rsidR="005B3E6D" w:rsidRPr="00A33787" w:rsidRDefault="005B3E6D" w:rsidP="005B3E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B3E6D" w:rsidRPr="00A33787" w:rsidTr="00E22DA7">
        <w:tc>
          <w:tcPr>
            <w:tcW w:w="14283" w:type="dxa"/>
          </w:tcPr>
          <w:p w:rsidR="005B3E6D" w:rsidRPr="00A33787" w:rsidRDefault="005B3E6D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E76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B3E6D" w:rsidRPr="00A33787" w:rsidTr="00E22DA7">
        <w:tc>
          <w:tcPr>
            <w:tcW w:w="14283" w:type="dxa"/>
          </w:tcPr>
          <w:p w:rsidR="005B3E6D" w:rsidRPr="00A33787" w:rsidRDefault="005B3E6D" w:rsidP="002C5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11.</w:t>
            </w:r>
            <w:r w:rsidR="002C51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Planeación, Información, Evaluación y Políticas; 15. Proceso Electoral.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</w:t>
            </w:r>
          </w:p>
        </w:tc>
      </w:tr>
    </w:tbl>
    <w:p w:rsidR="005B3E6D" w:rsidRPr="00A33787" w:rsidRDefault="005B3E6D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B3E6D" w:rsidRPr="00A33787" w:rsidTr="00E22DA7">
        <w:trPr>
          <w:trHeight w:val="425"/>
        </w:trPr>
        <w:tc>
          <w:tcPr>
            <w:tcW w:w="2802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B3E6D" w:rsidRPr="00A33787" w:rsidRDefault="005B3E6D" w:rsidP="00E22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06592" w:rsidRPr="00A33787" w:rsidTr="00E22DA7">
        <w:tc>
          <w:tcPr>
            <w:tcW w:w="2802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11.5 Calendario Anual de Actividades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Minutas de las reuniones de la Vocalía</w:t>
            </w:r>
          </w:p>
        </w:tc>
        <w:tc>
          <w:tcPr>
            <w:tcW w:w="2410" w:type="dxa"/>
          </w:tcPr>
          <w:p w:rsidR="00B06592" w:rsidRPr="00A33787" w:rsidRDefault="00B06592" w:rsidP="006F0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2C5030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  <w:tr w:rsidR="00B06592" w:rsidRPr="00A33787" w:rsidTr="00E22DA7">
        <w:tc>
          <w:tcPr>
            <w:tcW w:w="2802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 Consejo Distrital</w:t>
            </w:r>
          </w:p>
        </w:tc>
        <w:tc>
          <w:tcPr>
            <w:tcW w:w="4394" w:type="dxa"/>
          </w:tcPr>
          <w:p w:rsidR="00B06592" w:rsidRPr="00A33787" w:rsidRDefault="00B06592" w:rsidP="00E22D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del Consejo Distrital</w:t>
            </w:r>
          </w:p>
        </w:tc>
        <w:tc>
          <w:tcPr>
            <w:tcW w:w="2410" w:type="dxa"/>
          </w:tcPr>
          <w:p w:rsidR="00B06592" w:rsidRPr="00A33787" w:rsidRDefault="00B06592" w:rsidP="006F0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:rsidR="00B06592" w:rsidRDefault="00B06592" w:rsidP="00FE16B5">
            <w:pPr>
              <w:jc w:val="center"/>
            </w:pPr>
            <w:r w:rsidRPr="002C5030">
              <w:t>Un expediente</w:t>
            </w:r>
          </w:p>
        </w:tc>
        <w:tc>
          <w:tcPr>
            <w:tcW w:w="2551" w:type="dxa"/>
          </w:tcPr>
          <w:p w:rsidR="00B06592" w:rsidRPr="00A33787" w:rsidRDefault="00B06592" w:rsidP="005C3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</w:p>
        </w:tc>
      </w:tr>
    </w:tbl>
    <w:p w:rsidR="00AA79DE" w:rsidRDefault="00AA79DE" w:rsidP="001C47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1C4736" w:rsidRPr="00A33787" w:rsidTr="00A71A57">
        <w:tc>
          <w:tcPr>
            <w:tcW w:w="4928" w:type="dxa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CD5F43" w:rsidRPr="00A33787" w:rsidRDefault="00CD5F43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01A8A" w:rsidRPr="00A33787" w:rsidRDefault="00901A8A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C4736" w:rsidRPr="00A33787" w:rsidRDefault="005B3E6D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</w:t>
            </w:r>
            <w:r w:rsidR="00F94A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Sofía Baldazo Hernández</w:t>
            </w:r>
          </w:p>
          <w:p w:rsidR="00BE26F9" w:rsidRPr="00A33787" w:rsidRDefault="00BE26F9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</w:t>
            </w:r>
            <w:r w:rsidR="008664EA"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ria</w:t>
            </w:r>
          </w:p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</w:tcPr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901A8A" w:rsidRPr="00A33787" w:rsidRDefault="00901A8A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B3E6D" w:rsidRPr="00A33787" w:rsidRDefault="005B3E6D" w:rsidP="005B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B3E6D" w:rsidRPr="00A33787" w:rsidRDefault="005B3E6D" w:rsidP="005B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Dr. Rodolfo Ortiz Balbuena </w:t>
            </w:r>
          </w:p>
          <w:p w:rsidR="001C4736" w:rsidRPr="00A33787" w:rsidRDefault="005B3E6D" w:rsidP="005B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  <w:p w:rsidR="001C4736" w:rsidRPr="00A3378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03" w:type="dxa"/>
          </w:tcPr>
          <w:p w:rsidR="00901A8A" w:rsidRPr="00A33787" w:rsidRDefault="00011AB5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</w:t>
            </w:r>
            <w:r w:rsidR="00FE16B5" w:rsidRPr="00A3378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.Bo</w:t>
            </w:r>
            <w:proofErr w:type="spellEnd"/>
          </w:p>
          <w:p w:rsidR="00901A8A" w:rsidRPr="00A33787" w:rsidRDefault="00901A8A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B3E6D" w:rsidRPr="00A33787" w:rsidRDefault="005B3E6D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B3E6D" w:rsidRPr="00A33787" w:rsidRDefault="005B3E6D" w:rsidP="005B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Dr. Rodolfo Ortiz Balbuena </w:t>
            </w:r>
          </w:p>
          <w:p w:rsidR="001C4736" w:rsidRPr="00A33787" w:rsidRDefault="005B3E6D" w:rsidP="005B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337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1C4736" w:rsidRPr="00A3378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C4736" w:rsidRPr="00A33787" w:rsidRDefault="001C4736" w:rsidP="001C4736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D023DF" w:rsidRPr="00A33787" w:rsidRDefault="00D023DF" w:rsidP="003E769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023DF" w:rsidRPr="00A33787" w:rsidSect="00A71A57">
      <w:headerReference w:type="default" r:id="rId9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9D2" w:rsidRDefault="009359D2" w:rsidP="001C4736">
      <w:pPr>
        <w:spacing w:after="0" w:line="240" w:lineRule="auto"/>
      </w:pPr>
      <w:r>
        <w:separator/>
      </w:r>
    </w:p>
  </w:endnote>
  <w:endnote w:type="continuationSeparator" w:id="0">
    <w:p w:rsidR="009359D2" w:rsidRDefault="009359D2" w:rsidP="001C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9D2" w:rsidRDefault="009359D2" w:rsidP="001C4736">
      <w:pPr>
        <w:spacing w:after="0" w:line="240" w:lineRule="auto"/>
      </w:pPr>
      <w:r>
        <w:separator/>
      </w:r>
    </w:p>
  </w:footnote>
  <w:footnote w:type="continuationSeparator" w:id="0">
    <w:p w:rsidR="009359D2" w:rsidRDefault="009359D2" w:rsidP="001C4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E20" w:rsidRPr="001C4736" w:rsidRDefault="00E46E20" w:rsidP="003E7691">
    <w:pPr>
      <w:tabs>
        <w:tab w:val="center" w:pos="4252"/>
        <w:tab w:val="right" w:pos="8504"/>
      </w:tabs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es-ES"/>
      </w:rPr>
    </w:pPr>
    <w:r>
      <w:rPr>
        <w:rFonts w:ascii="Arial" w:eastAsia="Times New Roman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46E20" w:rsidRPr="001C4736" w:rsidRDefault="00E46E20" w:rsidP="001C4736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b/>
        <w:sz w:val="44"/>
        <w:szCs w:val="44"/>
        <w:lang w:val="es-ES" w:eastAsia="es-ES"/>
      </w:rPr>
    </w:pPr>
    <w:r w:rsidRPr="001C4736">
      <w:rPr>
        <w:rFonts w:ascii="Arial" w:eastAsia="Times New Roman" w:hAnsi="Arial" w:cs="Arial"/>
        <w:sz w:val="24"/>
        <w:szCs w:val="24"/>
        <w:lang w:eastAsia="es-ES"/>
      </w:rPr>
      <w:t xml:space="preserve">                                   </w:t>
    </w:r>
  </w:p>
  <w:p w:rsidR="00E46E20" w:rsidRDefault="00E46E2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36"/>
    <w:rsid w:val="00011AB5"/>
    <w:rsid w:val="000D40CA"/>
    <w:rsid w:val="001C4736"/>
    <w:rsid w:val="001E6415"/>
    <w:rsid w:val="0020325B"/>
    <w:rsid w:val="00286B69"/>
    <w:rsid w:val="002C515C"/>
    <w:rsid w:val="003C6AD8"/>
    <w:rsid w:val="003E7691"/>
    <w:rsid w:val="004000B7"/>
    <w:rsid w:val="005B3E6D"/>
    <w:rsid w:val="005C3C65"/>
    <w:rsid w:val="005D6CEB"/>
    <w:rsid w:val="005F0FB3"/>
    <w:rsid w:val="006B1EEE"/>
    <w:rsid w:val="006F0B72"/>
    <w:rsid w:val="00740C9B"/>
    <w:rsid w:val="00743C25"/>
    <w:rsid w:val="00761506"/>
    <w:rsid w:val="007A2673"/>
    <w:rsid w:val="00853F3E"/>
    <w:rsid w:val="008664EA"/>
    <w:rsid w:val="00870342"/>
    <w:rsid w:val="008772B3"/>
    <w:rsid w:val="008E593F"/>
    <w:rsid w:val="00901A8A"/>
    <w:rsid w:val="00921182"/>
    <w:rsid w:val="009359D2"/>
    <w:rsid w:val="00975350"/>
    <w:rsid w:val="009809F3"/>
    <w:rsid w:val="00A0263B"/>
    <w:rsid w:val="00A07523"/>
    <w:rsid w:val="00A33787"/>
    <w:rsid w:val="00A71A57"/>
    <w:rsid w:val="00AA79DE"/>
    <w:rsid w:val="00AF7EA2"/>
    <w:rsid w:val="00B06592"/>
    <w:rsid w:val="00BE26F9"/>
    <w:rsid w:val="00BF6191"/>
    <w:rsid w:val="00BF744D"/>
    <w:rsid w:val="00C46821"/>
    <w:rsid w:val="00C92102"/>
    <w:rsid w:val="00C936FD"/>
    <w:rsid w:val="00CD0E0A"/>
    <w:rsid w:val="00CD5F43"/>
    <w:rsid w:val="00D023DF"/>
    <w:rsid w:val="00DD7FC3"/>
    <w:rsid w:val="00DF713D"/>
    <w:rsid w:val="00E03A2F"/>
    <w:rsid w:val="00E17027"/>
    <w:rsid w:val="00E46E20"/>
    <w:rsid w:val="00E74D08"/>
    <w:rsid w:val="00E8390E"/>
    <w:rsid w:val="00EA40A2"/>
    <w:rsid w:val="00EA459F"/>
    <w:rsid w:val="00ED7B35"/>
    <w:rsid w:val="00F047DF"/>
    <w:rsid w:val="00F356D3"/>
    <w:rsid w:val="00F94A78"/>
    <w:rsid w:val="00FB3CA7"/>
    <w:rsid w:val="00FE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11E705-D244-4E54-9774-64B228DC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C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47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736"/>
  </w:style>
  <w:style w:type="paragraph" w:styleId="Piedepgina">
    <w:name w:val="footer"/>
    <w:basedOn w:val="Normal"/>
    <w:link w:val="PiedepginaCar"/>
    <w:uiPriority w:val="99"/>
    <w:unhideWhenUsed/>
    <w:rsid w:val="001C47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736"/>
  </w:style>
  <w:style w:type="character" w:styleId="Hipervnculo">
    <w:name w:val="Hyperlink"/>
    <w:uiPriority w:val="99"/>
    <w:unhideWhenUsed/>
    <w:rsid w:val="003C6AD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lfo.ortiz@ine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E965-893D-4530-A3C6-9983D449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1370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2015-11-06T20:46:00Z</cp:lastPrinted>
  <dcterms:created xsi:type="dcterms:W3CDTF">2016-09-13T14:02:00Z</dcterms:created>
  <dcterms:modified xsi:type="dcterms:W3CDTF">2016-10-28T00:24:00Z</dcterms:modified>
</cp:coreProperties>
</file>